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default" w:ascii="Times New Roman" w:hAnsi="Times New Roman" w:cs="Times New Roman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Additional file 2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 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u w:val="none"/>
          <w:lang w:val="en-US" w:eastAsia="zh-CN"/>
        </w:rPr>
        <w:t>A list of the websites with potential NMIBC guideline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u w:val="none"/>
          <w:lang w:val="en-US" w:eastAsia="zh-CN"/>
        </w:rPr>
        <w:t>s</w:t>
      </w:r>
    </w:p>
    <w:tbl>
      <w:tblPr>
        <w:tblStyle w:val="3"/>
        <w:tblW w:w="12710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7"/>
        <w:gridCol w:w="762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5087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Title</w:t>
            </w:r>
          </w:p>
        </w:tc>
        <w:tc>
          <w:tcPr>
            <w:tcW w:w="762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Websites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5087" w:type="dxa"/>
            <w:tcBorders>
              <w:top w:val="single" w:color="auto" w:sz="4" w:space="0"/>
            </w:tcBorders>
            <w:vAlign w:val="top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Guidelines International Network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GIN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)</w:t>
            </w:r>
          </w:p>
        </w:tc>
        <w:tc>
          <w:tcPr>
            <w:tcW w:w="7623" w:type="dxa"/>
            <w:tcBorders>
              <w:top w:val="single" w:color="auto" w:sz="4" w:space="0"/>
            </w:tcBorders>
            <w:vAlign w:val="top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https://www.g-i-n.net/library/international-guidelines-library/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5087" w:type="dxa"/>
            <w:vAlign w:val="top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vertAlign w:val="baseline"/>
              </w:rPr>
              <w:t>National Institute for Health and Care Excellence</w:t>
            </w:r>
            <w:r>
              <w:rPr>
                <w:rFonts w:hint="eastAsia" w:ascii="Times New Roman" w:hAnsi="Times New Roman" w:eastAsia="楷体" w:cs="Times New Roman"/>
                <w:sz w:val="21"/>
                <w:szCs w:val="21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NICE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)</w:t>
            </w:r>
          </w:p>
        </w:tc>
        <w:tc>
          <w:tcPr>
            <w:tcW w:w="7623" w:type="dxa"/>
            <w:vAlign w:val="top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https://www.nice.org.uk/guidance/ng2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5087" w:type="dxa"/>
            <w:vAlign w:val="top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Scottish Intercollegiate Guidelines Network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SIGN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)</w:t>
            </w:r>
          </w:p>
        </w:tc>
        <w:tc>
          <w:tcPr>
            <w:tcW w:w="7623" w:type="dxa"/>
            <w:vAlign w:val="top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https://www.sign.ac.uk/our-guidelines.html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5087" w:type="dxa"/>
            <w:vAlign w:val="top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World Health Organization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WHO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)</w:t>
            </w:r>
          </w:p>
        </w:tc>
        <w:tc>
          <w:tcPr>
            <w:tcW w:w="7623" w:type="dxa"/>
            <w:vAlign w:val="top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https://www.who.int/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jc w:val="center"/>
        </w:trPr>
        <w:tc>
          <w:tcPr>
            <w:tcW w:w="5087" w:type="dxa"/>
            <w:vAlign w:val="top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楷体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American Society of Clinical Oncology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ASCO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)</w:t>
            </w:r>
          </w:p>
        </w:tc>
        <w:tc>
          <w:tcPr>
            <w:tcW w:w="7623" w:type="dxa"/>
            <w:vAlign w:val="top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https://www.asco.org/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5087" w:type="dxa"/>
            <w:vAlign w:val="top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American Urological Association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AUA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)</w:t>
            </w:r>
          </w:p>
        </w:tc>
        <w:tc>
          <w:tcPr>
            <w:tcW w:w="7623" w:type="dxa"/>
            <w:vAlign w:val="top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https://www.auanet.org/guidelines/bladder-cancer-non-muscle-invasive-(2016)#x2540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  <w:jc w:val="center"/>
        </w:trPr>
        <w:tc>
          <w:tcPr>
            <w:tcW w:w="5087" w:type="dxa"/>
            <w:vAlign w:val="top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European Association of Urology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EAU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)</w:t>
            </w:r>
          </w:p>
        </w:tc>
        <w:tc>
          <w:tcPr>
            <w:tcW w:w="7623" w:type="dxa"/>
            <w:vAlign w:val="top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https://uroweb.org/guideline/non-muscle-invasive-bladder-cancer/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5087" w:type="dxa"/>
            <w:vAlign w:val="top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eastAsia="zh-CN"/>
              </w:rPr>
              <w:t>National Comprehensive Cancer Network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NCCN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)</w:t>
            </w:r>
          </w:p>
        </w:tc>
        <w:tc>
          <w:tcPr>
            <w:tcW w:w="7623" w:type="dxa"/>
            <w:vAlign w:val="top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none"/>
                <w:lang w:val="en-US" w:eastAsia="zh-CN"/>
              </w:rPr>
              <w:t>https://www.nccn.org/professionals/physician_gls/default.aspx</w:t>
            </w:r>
          </w:p>
        </w:tc>
      </w:tr>
    </w:tbl>
    <w:p>
      <w:pPr>
        <w:spacing w:line="480" w:lineRule="auto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FA33EF"/>
    <w:rsid w:val="10FA33EF"/>
    <w:rsid w:val="1F195416"/>
    <w:rsid w:val="2C5E0D03"/>
    <w:rsid w:val="31E13FFD"/>
    <w:rsid w:val="4ACF3483"/>
    <w:rsid w:val="4BD33B3D"/>
    <w:rsid w:val="6C223168"/>
    <w:rsid w:val="721A3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2019-03-10T01:42:00Z</dcterms:created>
  <dc:creator>仟木且耐之</dc:creator>
  <cp:lastModifiedBy>张菁</cp:lastModifiedBy>
  <dcterms:modified xsi:type="dcterms:W3CDTF">2019-07-08T09:15:22Z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